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7D3E2AEB"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1475FD" w:rsidRPr="001475FD">
        <w:rPr>
          <w:b/>
          <w:i/>
          <w:noProof/>
          <w:sz w:val="28"/>
        </w:rPr>
        <w:t>S5-245578</w:t>
      </w:r>
      <w:bookmarkStart w:id="0" w:name="_GoBack"/>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8ACA9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74EC3">
        <w:rPr>
          <w:rFonts w:ascii="Arial" w:hAnsi="Arial"/>
          <w:b/>
          <w:lang w:val="en-US"/>
        </w:rPr>
        <w:t>Huawei</w:t>
      </w:r>
    </w:p>
    <w:p w14:paraId="2C458A19" w14:textId="31ACA7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4EC3" w:rsidRPr="00F74EC3">
        <w:rPr>
          <w:rFonts w:ascii="Arial" w:hAnsi="Arial" w:cs="Arial"/>
          <w:b/>
        </w:rPr>
        <w:t>Discussion Paper for correction on the non-blocking mode</w:t>
      </w:r>
    </w:p>
    <w:p w14:paraId="02CFB229" w14:textId="72F0DF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764D8F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4EC3">
        <w:rPr>
          <w:rFonts w:ascii="Arial" w:hAnsi="Arial"/>
          <w:b/>
        </w:rPr>
        <w:t>7.3</w:t>
      </w:r>
    </w:p>
    <w:p w14:paraId="13D426F8" w14:textId="77777777" w:rsidR="00C022E3" w:rsidRDefault="00C022E3">
      <w:pPr>
        <w:pStyle w:val="1"/>
      </w:pPr>
      <w:r>
        <w:t>1</w:t>
      </w:r>
      <w:r>
        <w:tab/>
        <w:t>Decision/action requested</w:t>
      </w:r>
    </w:p>
    <w:p w14:paraId="4CE7B190" w14:textId="1A1B1D80" w:rsidR="00C022E3" w:rsidRDefault="00F74E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the correction on the non-blocking mode</w:t>
      </w:r>
      <w:r w:rsidR="00C022E3">
        <w:rPr>
          <w:b/>
          <w:i/>
        </w:rPr>
        <w:t>.</w:t>
      </w:r>
    </w:p>
    <w:p w14:paraId="6F93C75D" w14:textId="77777777" w:rsidR="00C022E3" w:rsidRDefault="00C022E3">
      <w:pPr>
        <w:pStyle w:val="1"/>
      </w:pPr>
      <w:r>
        <w:t>2</w:t>
      </w:r>
      <w:r>
        <w:tab/>
        <w:t>References</w:t>
      </w:r>
    </w:p>
    <w:p w14:paraId="0D1D71FC" w14:textId="180C1EF3" w:rsidR="00F74EC3" w:rsidRDefault="00F74EC3" w:rsidP="00F74EC3">
      <w:pPr>
        <w:pStyle w:val="Reference"/>
      </w:pPr>
      <w:r w:rsidRPr="00B179E9">
        <w:rPr>
          <w:lang w:val="x-none"/>
        </w:rPr>
        <w:t>[</w:t>
      </w:r>
      <w:r w:rsidR="007C0461">
        <w:rPr>
          <w:lang w:val="x-none"/>
        </w:rPr>
        <w:t>1</w:t>
      </w:r>
      <w:r w:rsidRPr="00B179E9">
        <w:rPr>
          <w:lang w:val="x-none"/>
        </w:rPr>
        <w:t>]</w:t>
      </w:r>
      <w:r w:rsidRPr="00B179E9">
        <w:rPr>
          <w:lang w:val="x-none"/>
        </w:rPr>
        <w:tab/>
        <w:t>3GPP TS 32.290</w:t>
      </w:r>
      <w:r w:rsidRPr="00BA36BA">
        <w:rPr>
          <w:lang w:eastAsia="de-DE"/>
        </w:rPr>
        <w:t>:</w:t>
      </w:r>
      <w:r w:rsidRPr="00BA36BA">
        <w:t xml:space="preserve"> </w:t>
      </w:r>
      <w:r w:rsidRPr="00BA36BA">
        <w:rPr>
          <w:lang w:eastAsia="de-DE"/>
        </w:rPr>
        <w:t>"</w:t>
      </w:r>
      <w:r w:rsidRPr="00F74EC3">
        <w:rPr>
          <w:lang w:val="x-none"/>
        </w:rPr>
        <w:t>Telecommunication management; Charging management; 5G system; Services, operations and procedures of charging using Service Based Interface (SBI)</w:t>
      </w:r>
      <w:r w:rsidRPr="00BD6F46">
        <w:t>".</w:t>
      </w:r>
    </w:p>
    <w:p w14:paraId="75CFBA1D" w14:textId="7B749ABB" w:rsidR="007C0461" w:rsidRDefault="007C0461" w:rsidP="007C0461">
      <w:pPr>
        <w:pStyle w:val="Reference"/>
      </w:pPr>
      <w:r w:rsidRPr="00EB14CD">
        <w:t>[</w:t>
      </w:r>
      <w:r>
        <w:t>2</w:t>
      </w:r>
      <w:r w:rsidRPr="00EB14CD">
        <w:t>]</w:t>
      </w:r>
      <w:r w:rsidRPr="00EB14CD">
        <w:tab/>
        <w:t>3GPP TS 23.50</w:t>
      </w:r>
      <w:r>
        <w:t>3</w:t>
      </w:r>
      <w:r w:rsidRPr="00BA36BA">
        <w:rPr>
          <w:lang w:eastAsia="de-DE"/>
        </w:rPr>
        <w:t>:</w:t>
      </w:r>
      <w:r w:rsidRPr="00BA36BA">
        <w:t xml:space="preserve"> </w:t>
      </w:r>
      <w:r w:rsidRPr="00BA36BA">
        <w:rPr>
          <w:lang w:eastAsia="de-DE"/>
        </w:rPr>
        <w:t>"</w:t>
      </w:r>
      <w:r w:rsidRPr="00F74EC3">
        <w:t>Policy and charging control framework for the 5G System (5GS); Stage 2</w:t>
      </w:r>
      <w:r w:rsidRPr="00BD6F46">
        <w:t>".</w:t>
      </w:r>
    </w:p>
    <w:p w14:paraId="1432A424" w14:textId="666C5A43" w:rsidR="007C0461" w:rsidRPr="007C0461" w:rsidRDefault="007C0461" w:rsidP="007C0461">
      <w:pPr>
        <w:pStyle w:val="Reference"/>
      </w:pPr>
      <w:r>
        <w:t>[3]</w:t>
      </w:r>
      <w:r>
        <w:tab/>
      </w:r>
      <w:r w:rsidRPr="00EB14CD">
        <w:t xml:space="preserve">3GPP TS </w:t>
      </w:r>
      <w:r>
        <w:t>29.512</w:t>
      </w:r>
      <w:r w:rsidRPr="00BA36BA">
        <w:rPr>
          <w:lang w:eastAsia="de-DE"/>
        </w:rPr>
        <w:t>:</w:t>
      </w:r>
      <w:r w:rsidRPr="00BA36BA">
        <w:t xml:space="preserve"> </w:t>
      </w:r>
      <w:r w:rsidRPr="00BA36BA">
        <w:rPr>
          <w:lang w:eastAsia="de-DE"/>
        </w:rPr>
        <w:t>"</w:t>
      </w:r>
      <w:r w:rsidRPr="007C0461">
        <w:t>5G System; Session Management Policy Control Service; Stage 3</w:t>
      </w:r>
      <w:r w:rsidRPr="00BD6F46">
        <w:t>".</w:t>
      </w:r>
    </w:p>
    <w:p w14:paraId="2F75A777" w14:textId="6D40451D" w:rsidR="00F74EC3" w:rsidRPr="00B179E9" w:rsidRDefault="00F74EC3" w:rsidP="00F74EC3">
      <w:pPr>
        <w:pStyle w:val="Reference"/>
        <w:rPr>
          <w:lang w:val="x-none"/>
        </w:rPr>
      </w:pPr>
      <w:r w:rsidRPr="00B179E9">
        <w:rPr>
          <w:lang w:val="x-none"/>
        </w:rPr>
        <w:t>[</w:t>
      </w:r>
      <w:r w:rsidR="007C0461">
        <w:rPr>
          <w:lang w:val="x-none"/>
        </w:rPr>
        <w:t>4</w:t>
      </w:r>
      <w:r w:rsidRPr="00B179E9">
        <w:rPr>
          <w:lang w:val="x-none"/>
        </w:rPr>
        <w:t>]</w:t>
      </w:r>
      <w:r w:rsidRPr="00B179E9">
        <w:rPr>
          <w:lang w:val="x-none"/>
        </w:rPr>
        <w:tab/>
        <w:t>3GPP TS 32.29</w:t>
      </w:r>
      <w:r>
        <w:rPr>
          <w:lang w:val="x-none"/>
        </w:rPr>
        <w:t>1</w:t>
      </w:r>
      <w:r w:rsidRPr="00BA36BA">
        <w:rPr>
          <w:lang w:eastAsia="de-DE"/>
        </w:rPr>
        <w:t>:</w:t>
      </w:r>
      <w:r w:rsidRPr="00BA36BA">
        <w:t xml:space="preserve"> </w:t>
      </w:r>
      <w:r w:rsidRPr="00BA36BA">
        <w:rPr>
          <w:lang w:eastAsia="de-DE"/>
        </w:rPr>
        <w:t>"</w:t>
      </w:r>
      <w:r w:rsidRPr="00F74EC3">
        <w:rPr>
          <w:lang w:val="x-none"/>
        </w:rPr>
        <w:t>Telecommunication management; Charging management; 5G system, charging service; Stage 3</w:t>
      </w:r>
      <w:r w:rsidRPr="00BD6F46">
        <w:t>".</w:t>
      </w:r>
    </w:p>
    <w:p w14:paraId="1DE85D9E" w14:textId="77777777" w:rsidR="00C022E3" w:rsidRDefault="00C022E3">
      <w:pPr>
        <w:pStyle w:val="1"/>
      </w:pPr>
      <w:r>
        <w:t>3</w:t>
      </w:r>
      <w:r>
        <w:tab/>
        <w:t>Rationale</w:t>
      </w:r>
    </w:p>
    <w:p w14:paraId="7016FC36" w14:textId="77777777" w:rsidR="007C0461" w:rsidRPr="00E1285D" w:rsidRDefault="007C0461" w:rsidP="007C0461">
      <w:pPr>
        <w:pStyle w:val="Reference"/>
        <w:rPr>
          <w:rFonts w:ascii="Arial" w:hAnsi="Arial" w:cs="Arial"/>
          <w:sz w:val="24"/>
        </w:rPr>
      </w:pPr>
      <w:r w:rsidRPr="00E1285D">
        <w:rPr>
          <w:rFonts w:ascii="Arial" w:hAnsi="Arial" w:cs="Arial"/>
          <w:sz w:val="24"/>
        </w:rPr>
        <w:t>3.1</w:t>
      </w:r>
      <w:r w:rsidRPr="00E1285D">
        <w:rPr>
          <w:rFonts w:ascii="Arial" w:hAnsi="Arial" w:cs="Arial"/>
          <w:sz w:val="24"/>
        </w:rPr>
        <w:tab/>
      </w:r>
      <w:r w:rsidRPr="00E1285D">
        <w:rPr>
          <w:rFonts w:ascii="Arial" w:hAnsi="Arial" w:cs="Arial"/>
          <w:sz w:val="24"/>
        </w:rPr>
        <w:tab/>
      </w:r>
      <w:r w:rsidRPr="00E1285D">
        <w:rPr>
          <w:rFonts w:ascii="Arial" w:hAnsi="Arial" w:cs="Arial"/>
          <w:sz w:val="24"/>
        </w:rPr>
        <w:tab/>
        <w:t>Background</w:t>
      </w:r>
    </w:p>
    <w:p w14:paraId="3CD68ED7" w14:textId="033B4A41" w:rsidR="007C0461" w:rsidRDefault="007C0461" w:rsidP="007C0461">
      <w:r>
        <w:t xml:space="preserve">In TS 32.290 [1], the </w:t>
      </w:r>
      <w:r>
        <w:rPr>
          <w:lang w:eastAsia="zh-CN"/>
        </w:rPr>
        <w:t>n</w:t>
      </w:r>
      <w:r w:rsidRPr="00843859">
        <w:rPr>
          <w:lang w:eastAsia="zh-CN"/>
        </w:rPr>
        <w:t>on-blocking mode scenario</w:t>
      </w:r>
      <w:r>
        <w:rPr>
          <w:lang w:eastAsia="zh-CN"/>
        </w:rPr>
        <w:t xml:space="preserve"> is introduced for the 5G charging in clause </w:t>
      </w:r>
      <w:r w:rsidRPr="00843859">
        <w:rPr>
          <w:lang w:eastAsia="zh-CN"/>
        </w:rPr>
        <w:t>5.3.2</w:t>
      </w:r>
      <w:r w:rsidR="00203933">
        <w:rPr>
          <w:lang w:eastAsia="zh-CN"/>
        </w:rPr>
        <w:t xml:space="preserve"> </w:t>
      </w:r>
      <w:r w:rsidRPr="00843859">
        <w:rPr>
          <w:lang w:eastAsia="zh-CN"/>
        </w:rPr>
        <w:t>Charging scenarios</w:t>
      </w:r>
      <w:r>
        <w:rPr>
          <w:lang w:eastAsia="zh-CN"/>
        </w:rPr>
        <w:t xml:space="preserve">. The </w:t>
      </w:r>
      <w:r>
        <w:t xml:space="preserve">Converged Charging service offers charging </w:t>
      </w:r>
      <w:r>
        <w:rPr>
          <w:lang w:eastAsia="zh-CN"/>
        </w:rPr>
        <w:t>w</w:t>
      </w:r>
      <w:r w:rsidRPr="00843859">
        <w:rPr>
          <w:lang w:eastAsia="zh-CN"/>
        </w:rPr>
        <w:t>ith quota management</w:t>
      </w:r>
      <w:r>
        <w:rPr>
          <w:lang w:eastAsia="zh-CN"/>
        </w:rPr>
        <w:t>, including the</w:t>
      </w:r>
      <w:r w:rsidRPr="00843859">
        <w:rPr>
          <w:lang w:eastAsia="zh-CN"/>
        </w:rPr>
        <w:t xml:space="preserve"> support for both blocking mode and non-blocking mode</w:t>
      </w:r>
      <w:r>
        <w:rPr>
          <w:lang w:eastAsia="zh-CN"/>
        </w:rPr>
        <w:t xml:space="preserve">. The non-blocking mode allow the service delivery before </w:t>
      </w:r>
      <w:r>
        <w:t>sending the request to the CHF for the service to be granted authorization to start.</w:t>
      </w:r>
    </w:p>
    <w:p w14:paraId="04871957" w14:textId="2F384F1A" w:rsidR="007C0461" w:rsidRPr="00203933" w:rsidRDefault="007C0461" w:rsidP="00203933">
      <w:pPr>
        <w:rPr>
          <w:lang w:eastAsia="zh-CN"/>
        </w:rPr>
      </w:pPr>
      <w:r>
        <w:rPr>
          <w:lang w:eastAsia="zh-CN"/>
        </w:rPr>
        <w:t xml:space="preserve">In TS 23.503 [2], the </w:t>
      </w:r>
      <w:r w:rsidRPr="00203933">
        <w:rPr>
          <w:lang w:eastAsia="zh-CN"/>
        </w:rPr>
        <w:t>"</w:t>
      </w:r>
      <w:r>
        <w:rPr>
          <w:lang w:eastAsia="zh-CN"/>
        </w:rPr>
        <w:t>Service Data flow handling while requesting credit</w:t>
      </w:r>
      <w:r w:rsidRPr="00203933">
        <w:rPr>
          <w:lang w:eastAsia="zh-CN"/>
        </w:rPr>
        <w:t>"</w:t>
      </w:r>
      <w:r>
        <w:rPr>
          <w:lang w:eastAsia="zh-CN"/>
        </w:rPr>
        <w:t xml:space="preserve"> in cluase </w:t>
      </w:r>
      <w:r w:rsidRPr="00D5270C">
        <w:rPr>
          <w:lang w:eastAsia="zh-CN"/>
        </w:rPr>
        <w:t>6.3</w:t>
      </w:r>
      <w:r w:rsidR="00203933">
        <w:rPr>
          <w:lang w:eastAsia="zh-CN"/>
        </w:rPr>
        <w:t xml:space="preserve"> </w:t>
      </w:r>
      <w:r w:rsidRPr="00D5270C">
        <w:rPr>
          <w:lang w:eastAsia="zh-CN"/>
        </w:rPr>
        <w:t>Policy and charging control rule</w:t>
      </w:r>
      <w:r>
        <w:rPr>
          <w:lang w:eastAsia="zh-CN"/>
        </w:rPr>
        <w:t xml:space="preserve"> is introduced for indicating</w:t>
      </w:r>
      <w:r w:rsidRPr="006D2A5C">
        <w:rPr>
          <w:lang w:eastAsia="zh-CN"/>
        </w:rPr>
        <w:t xml:space="preserve"> whether the service data flow is allowed to start while the SMF is waiting for the response to the credit request</w:t>
      </w:r>
      <w:r>
        <w:rPr>
          <w:lang w:eastAsia="zh-CN"/>
        </w:rPr>
        <w:t xml:space="preserve"> (</w:t>
      </w:r>
      <w:r w:rsidRPr="006D2A5C">
        <w:rPr>
          <w:lang w:eastAsia="zh-CN"/>
        </w:rPr>
        <w:t>Values: blocking or non-blocking</w:t>
      </w:r>
      <w:r>
        <w:rPr>
          <w:lang w:eastAsia="zh-CN"/>
        </w:rPr>
        <w:t>)</w:t>
      </w:r>
      <w:r w:rsidRPr="006D2A5C">
        <w:rPr>
          <w:lang w:eastAsia="zh-CN"/>
        </w:rPr>
        <w:t>.</w:t>
      </w:r>
      <w:r>
        <w:rPr>
          <w:lang w:eastAsia="zh-CN"/>
        </w:rPr>
        <w:t xml:space="preserve"> In </w:t>
      </w:r>
      <w:r w:rsidRPr="00E47BE2">
        <w:rPr>
          <w:lang w:eastAsia="zh-CN"/>
        </w:rPr>
        <w:t>TS 29.512</w:t>
      </w:r>
      <w:r>
        <w:rPr>
          <w:lang w:eastAsia="zh-CN"/>
        </w:rPr>
        <w:t xml:space="preserve"> [3]</w:t>
      </w:r>
      <w:r w:rsidRPr="00E47BE2">
        <w:rPr>
          <w:lang w:eastAsia="zh-CN"/>
        </w:rPr>
        <w:t xml:space="preserve"> clause 4.1.4.4.4</w:t>
      </w:r>
      <w:r>
        <w:rPr>
          <w:lang w:eastAsia="zh-CN"/>
        </w:rPr>
        <w:t xml:space="preserve">, the attribute </w:t>
      </w:r>
      <w:proofErr w:type="spellStart"/>
      <w:r w:rsidRPr="00203933">
        <w:rPr>
          <w:lang w:eastAsia="zh-CN"/>
        </w:rPr>
        <w:t>sdfHandl</w:t>
      </w:r>
      <w:proofErr w:type="spellEnd"/>
      <w:r w:rsidRPr="00203933">
        <w:rPr>
          <w:lang w:eastAsia="zh-CN"/>
        </w:rPr>
        <w:t xml:space="preserve"> is defined in </w:t>
      </w:r>
      <w:proofErr w:type="spellStart"/>
      <w:r w:rsidRPr="003107D3">
        <w:rPr>
          <w:lang w:eastAsia="zh-CN"/>
        </w:rPr>
        <w:t>ChargingData</w:t>
      </w:r>
      <w:proofErr w:type="spellEnd"/>
      <w:r>
        <w:rPr>
          <w:lang w:eastAsia="zh-CN"/>
        </w:rPr>
        <w:t xml:space="preserve"> to indicate the </w:t>
      </w:r>
      <w:r w:rsidRPr="00E47BE2">
        <w:rPr>
          <w:lang w:eastAsia="zh-CN"/>
        </w:rPr>
        <w:t>blocking or non-blocking</w:t>
      </w:r>
      <w:r>
        <w:rPr>
          <w:lang w:eastAsia="zh-CN"/>
        </w:rPr>
        <w:t xml:space="preserve"> mode.</w:t>
      </w:r>
    </w:p>
    <w:p w14:paraId="374C95B4" w14:textId="3462736B" w:rsidR="00F74EC3" w:rsidRPr="00B3613D" w:rsidRDefault="00B3613D" w:rsidP="00B3613D">
      <w:pPr>
        <w:pStyle w:val="Reference"/>
        <w:rPr>
          <w:rFonts w:ascii="Arial" w:hAnsi="Arial" w:cs="Arial"/>
          <w:sz w:val="24"/>
        </w:rPr>
      </w:pPr>
      <w:r w:rsidRPr="00E1285D">
        <w:rPr>
          <w:rFonts w:ascii="Arial" w:hAnsi="Arial" w:cs="Arial"/>
          <w:sz w:val="24"/>
        </w:rPr>
        <w:t>3.</w:t>
      </w:r>
      <w:r>
        <w:rPr>
          <w:rFonts w:ascii="Arial" w:hAnsi="Arial" w:cs="Arial"/>
          <w:sz w:val="24"/>
        </w:rPr>
        <w:t>2</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Pr>
          <w:rFonts w:ascii="Arial" w:hAnsi="Arial" w:cs="Arial"/>
          <w:sz w:val="24"/>
        </w:rPr>
        <w:t>Observations</w:t>
      </w:r>
      <w:r w:rsidR="004D0CBC">
        <w:rPr>
          <w:rFonts w:ascii="Arial" w:hAnsi="Arial" w:cs="Arial"/>
          <w:sz w:val="24"/>
        </w:rPr>
        <w:t xml:space="preserve"> and Analysis</w:t>
      </w:r>
    </w:p>
    <w:p w14:paraId="28E13372" w14:textId="77777777" w:rsidR="00FB05DF" w:rsidRDefault="00F74EC3" w:rsidP="00B3613D">
      <w:pPr>
        <w:rPr>
          <w:lang w:eastAsia="zh-CN"/>
        </w:rPr>
      </w:pPr>
      <w:r>
        <w:rPr>
          <w:lang w:eastAsia="zh-CN"/>
        </w:rPr>
        <w:t>Whether non-blocking mode applies has an impact on how CHF grant quota/</w:t>
      </w:r>
      <w:r>
        <w:rPr>
          <w:rFonts w:hint="eastAsia"/>
          <w:lang w:eastAsia="zh-CN"/>
        </w:rPr>
        <w:t>credit</w:t>
      </w:r>
      <w:r>
        <w:rPr>
          <w:lang w:eastAsia="zh-CN"/>
        </w:rPr>
        <w:t xml:space="preserve"> to a rating group. For instance, </w:t>
      </w:r>
    </w:p>
    <w:p w14:paraId="6F8CABE9" w14:textId="121CBAA7" w:rsidR="00FB05DF" w:rsidRDefault="00FB05DF" w:rsidP="00FB05DF">
      <w:pPr>
        <w:pStyle w:val="B1"/>
        <w:overflowPunct w:val="0"/>
        <w:autoSpaceDE w:val="0"/>
        <w:autoSpaceDN w:val="0"/>
        <w:adjustRightInd w:val="0"/>
        <w:textAlignment w:val="baseline"/>
        <w:rPr>
          <w:lang w:val="en-US" w:eastAsia="en-GB"/>
        </w:rPr>
      </w:pPr>
      <w:r>
        <w:rPr>
          <w:lang w:val="en-US" w:eastAsia="en-GB"/>
        </w:rPr>
        <w:t>-</w:t>
      </w:r>
      <w:r>
        <w:rPr>
          <w:lang w:val="en-US" w:eastAsia="en-GB"/>
        </w:rPr>
        <w:tab/>
        <w:t xml:space="preserve">When the non-blocking mode applies to the service data flow within this RG, CHF may refuse the request for quota due to insufficient account balance, which may lead to service termination. If the non-blocking mode remain unchanged for the service data flow, </w:t>
      </w:r>
      <w:r w:rsidR="000E2CCD">
        <w:rPr>
          <w:lang w:val="en-US" w:eastAsia="en-GB"/>
        </w:rPr>
        <w:t>the service may be started</w:t>
      </w:r>
      <w:r>
        <w:rPr>
          <w:lang w:val="en-US" w:eastAsia="en-GB"/>
        </w:rPr>
        <w:t xml:space="preserve"> and </w:t>
      </w:r>
      <w:r w:rsidR="000E2CCD">
        <w:rPr>
          <w:lang w:val="en-US" w:eastAsia="en-GB"/>
        </w:rPr>
        <w:t xml:space="preserve">interrupted </w:t>
      </w:r>
      <w:r>
        <w:rPr>
          <w:lang w:val="en-US" w:eastAsia="en-GB"/>
        </w:rPr>
        <w:t>again</w:t>
      </w:r>
      <w:r w:rsidR="000E2CCD">
        <w:rPr>
          <w:lang w:val="en-US" w:eastAsia="en-GB"/>
        </w:rPr>
        <w:t xml:space="preserve"> and again</w:t>
      </w:r>
      <w:r>
        <w:rPr>
          <w:lang w:val="en-US" w:eastAsia="en-GB"/>
        </w:rPr>
        <w:t>. To avoid frequent service interruption, it may require CHF to be aware of the non-blocking mode and inform PCF of the situation.</w:t>
      </w:r>
    </w:p>
    <w:p w14:paraId="1017DB48" w14:textId="031D95CA" w:rsidR="00F74EC3" w:rsidRPr="00FB05DF" w:rsidRDefault="00FB05DF" w:rsidP="00FB05DF">
      <w:pPr>
        <w:pStyle w:val="B1"/>
        <w:overflowPunct w:val="0"/>
        <w:autoSpaceDE w:val="0"/>
        <w:autoSpaceDN w:val="0"/>
        <w:adjustRightInd w:val="0"/>
        <w:textAlignment w:val="baseline"/>
        <w:rPr>
          <w:lang w:val="en-US" w:eastAsia="en-GB"/>
        </w:rPr>
      </w:pPr>
      <w:r w:rsidRPr="00FB05DF">
        <w:rPr>
          <w:lang w:val="en-US" w:eastAsia="en-GB"/>
        </w:rPr>
        <w:t>-</w:t>
      </w:r>
      <w:r w:rsidRPr="00FB05DF">
        <w:rPr>
          <w:lang w:val="en-US" w:eastAsia="en-GB"/>
        </w:rPr>
        <w:tab/>
      </w:r>
      <w:r w:rsidR="000E2CCD">
        <w:rPr>
          <w:lang w:val="en-US" w:eastAsia="en-GB"/>
        </w:rPr>
        <w:t>T</w:t>
      </w:r>
      <w:r w:rsidR="00E25D2B" w:rsidRPr="00FB05DF">
        <w:rPr>
          <w:lang w:val="en-US" w:eastAsia="en-GB"/>
        </w:rPr>
        <w:t>he service using non-blocking mode are usually latency sensitive services which may cause serious impact if the service delivery stops due to failure in requesting for quota. However, in normal handling procedure, if the account balance is exhausted for a rating group, the CHF may refuse to grant quota to th</w:t>
      </w:r>
      <w:r w:rsidRPr="00FB05DF">
        <w:rPr>
          <w:lang w:val="en-US" w:eastAsia="en-GB"/>
        </w:rPr>
        <w:t>e</w:t>
      </w:r>
      <w:r w:rsidR="00E25D2B" w:rsidRPr="00FB05DF">
        <w:rPr>
          <w:lang w:val="en-US" w:eastAsia="en-GB"/>
        </w:rPr>
        <w:t xml:space="preserve"> request. In </w:t>
      </w:r>
      <w:r w:rsidR="000E2CCD">
        <w:rPr>
          <w:lang w:val="en-US" w:eastAsia="en-GB"/>
        </w:rPr>
        <w:t>special</w:t>
      </w:r>
      <w:r w:rsidR="00E25D2B" w:rsidRPr="00FB05DF">
        <w:rPr>
          <w:lang w:val="en-US" w:eastAsia="en-GB"/>
        </w:rPr>
        <w:t xml:space="preserve"> case</w:t>
      </w:r>
      <w:r w:rsidR="000E2CCD">
        <w:rPr>
          <w:lang w:val="en-US" w:eastAsia="en-GB"/>
        </w:rPr>
        <w:t>s</w:t>
      </w:r>
      <w:r w:rsidR="00E25D2B" w:rsidRPr="00FB05DF">
        <w:rPr>
          <w:lang w:val="en-US" w:eastAsia="en-GB"/>
        </w:rPr>
        <w:t xml:space="preserve">, when non-blocking mode applies, it may require different </w:t>
      </w:r>
      <w:r w:rsidRPr="00FB05DF">
        <w:rPr>
          <w:lang w:val="en-US" w:eastAsia="en-GB"/>
        </w:rPr>
        <w:t>handling procedure</w:t>
      </w:r>
      <w:r w:rsidR="00E25D2B" w:rsidRPr="00FB05DF">
        <w:rPr>
          <w:lang w:val="en-US" w:eastAsia="en-GB"/>
        </w:rPr>
        <w:t xml:space="preserve"> </w:t>
      </w:r>
      <w:r w:rsidRPr="00FB05DF">
        <w:rPr>
          <w:lang w:val="en-US" w:eastAsia="en-GB"/>
        </w:rPr>
        <w:t xml:space="preserve">from </w:t>
      </w:r>
      <w:r w:rsidR="00E25D2B" w:rsidRPr="00FB05DF">
        <w:rPr>
          <w:lang w:val="en-US" w:eastAsia="en-GB"/>
        </w:rPr>
        <w:t xml:space="preserve">CHF to avoid </w:t>
      </w:r>
      <w:r w:rsidRPr="00FB05DF">
        <w:rPr>
          <w:lang w:val="en-US" w:eastAsia="en-GB"/>
        </w:rPr>
        <w:t xml:space="preserve">unexpected </w:t>
      </w:r>
      <w:r w:rsidR="00E25D2B" w:rsidRPr="00FB05DF">
        <w:rPr>
          <w:lang w:val="en-US" w:eastAsia="en-GB"/>
        </w:rPr>
        <w:t>service interruption.</w:t>
      </w:r>
    </w:p>
    <w:p w14:paraId="045E373D" w14:textId="10C4AA87" w:rsidR="00B3613D" w:rsidRDefault="00B3613D" w:rsidP="00B3613D">
      <w:pPr>
        <w:rPr>
          <w:lang w:eastAsia="zh-CN"/>
        </w:rPr>
      </w:pPr>
      <w:r>
        <w:rPr>
          <w:lang w:eastAsia="zh-CN"/>
        </w:rPr>
        <w:t xml:space="preserve">However, the current charging procedure and charging information defined in TS 32.290 [1] does not provide a clear guidance on </w:t>
      </w:r>
      <w:r>
        <w:t>how and when does CHF detect the non-blocking mode applie</w:t>
      </w:r>
      <w:r w:rsidR="004D0CBC">
        <w:t>d</w:t>
      </w:r>
      <w:r>
        <w:t xml:space="preserve"> to a rating group.</w:t>
      </w:r>
    </w:p>
    <w:p w14:paraId="6EEB9E74" w14:textId="7544C47A" w:rsidR="00B3613D" w:rsidRPr="004D0CBC" w:rsidRDefault="004D0CBC" w:rsidP="004D0CBC">
      <w:pPr>
        <w:rPr>
          <w:b/>
          <w:u w:val="single"/>
          <w:lang w:eastAsia="zh-CN"/>
        </w:rPr>
      </w:pPr>
      <w:r w:rsidRPr="004D0CBC">
        <w:rPr>
          <w:b/>
          <w:u w:val="single"/>
          <w:lang w:eastAsia="zh-CN"/>
        </w:rPr>
        <w:t xml:space="preserve">Question 1: </w:t>
      </w:r>
      <w:r w:rsidR="00F44A34">
        <w:rPr>
          <w:b/>
          <w:u w:val="single"/>
          <w:lang w:eastAsia="zh-CN"/>
        </w:rPr>
        <w:t xml:space="preserve">Which NF can report the </w:t>
      </w:r>
      <w:r w:rsidR="00F44A34" w:rsidRPr="004D0CBC">
        <w:rPr>
          <w:b/>
          <w:u w:val="single"/>
          <w:lang w:eastAsia="zh-CN"/>
        </w:rPr>
        <w:t>non-blocking mode</w:t>
      </w:r>
      <w:r w:rsidR="00F44A34">
        <w:rPr>
          <w:b/>
          <w:u w:val="single"/>
          <w:lang w:eastAsia="zh-CN"/>
        </w:rPr>
        <w:t xml:space="preserve"> information to</w:t>
      </w:r>
      <w:r w:rsidRPr="004D0CBC">
        <w:rPr>
          <w:b/>
          <w:u w:val="single"/>
          <w:lang w:eastAsia="zh-CN"/>
        </w:rPr>
        <w:t xml:space="preserve"> CHF</w:t>
      </w:r>
      <w:r w:rsidR="00F44A34">
        <w:rPr>
          <w:b/>
          <w:u w:val="single"/>
          <w:lang w:eastAsia="zh-CN"/>
        </w:rPr>
        <w:t>?</w:t>
      </w:r>
    </w:p>
    <w:p w14:paraId="6A17AFC3" w14:textId="39AA36D1" w:rsidR="00F44A34" w:rsidRDefault="004D0CBC" w:rsidP="004D0CBC">
      <w:r w:rsidRPr="00A06DE9">
        <w:t>Figure 5.3.2.3.2</w:t>
      </w:r>
      <w:r>
        <w:t xml:space="preserve"> in TS 32.290 [1] already provide a session-based charging procedure for non-blocking mode. Based on the existing procedure, </w:t>
      </w:r>
      <w:r w:rsidR="0077099A">
        <w:t xml:space="preserve">the NF(CTF) with SCUR based charging scenario can report the non-blocking mode information to CHF, </w:t>
      </w:r>
      <w:r w:rsidR="00C01121">
        <w:t>e.g.</w:t>
      </w:r>
      <w:r w:rsidR="0077099A">
        <w:t xml:space="preserve"> SMF. </w:t>
      </w:r>
      <w:r w:rsidR="00C01121">
        <w:t xml:space="preserve">The SMF can receive the </w:t>
      </w:r>
      <w:proofErr w:type="spellStart"/>
      <w:r w:rsidR="00C01121" w:rsidRPr="00203933">
        <w:rPr>
          <w:lang w:eastAsia="zh-CN"/>
        </w:rPr>
        <w:t>sdfHandl</w:t>
      </w:r>
      <w:proofErr w:type="spellEnd"/>
      <w:r w:rsidR="00C01121">
        <w:rPr>
          <w:lang w:eastAsia="zh-CN"/>
        </w:rPr>
        <w:t xml:space="preserve"> attribute indicating the blocking or non-blocking mode from PCF over N</w:t>
      </w:r>
      <w:r w:rsidR="0037490F">
        <w:rPr>
          <w:lang w:eastAsia="zh-CN"/>
        </w:rPr>
        <w:t xml:space="preserve">7 interface. </w:t>
      </w:r>
    </w:p>
    <w:p w14:paraId="100E29D7" w14:textId="7195201B" w:rsidR="00F44A34" w:rsidRPr="004D0CBC" w:rsidRDefault="00F44A34" w:rsidP="00F44A34">
      <w:pPr>
        <w:rPr>
          <w:b/>
          <w:u w:val="single"/>
          <w:lang w:eastAsia="zh-CN"/>
        </w:rPr>
      </w:pPr>
      <w:r w:rsidRPr="004D0CBC">
        <w:rPr>
          <w:b/>
          <w:u w:val="single"/>
          <w:lang w:eastAsia="zh-CN"/>
        </w:rPr>
        <w:lastRenderedPageBreak/>
        <w:t xml:space="preserve">Question </w:t>
      </w:r>
      <w:r>
        <w:rPr>
          <w:b/>
          <w:u w:val="single"/>
          <w:lang w:eastAsia="zh-CN"/>
        </w:rPr>
        <w:t>2</w:t>
      </w:r>
      <w:r w:rsidRPr="004D0CBC">
        <w:rPr>
          <w:b/>
          <w:u w:val="single"/>
          <w:lang w:eastAsia="zh-CN"/>
        </w:rPr>
        <w:t xml:space="preserve">: How </w:t>
      </w:r>
      <w:r w:rsidR="0077099A">
        <w:rPr>
          <w:b/>
          <w:u w:val="single"/>
          <w:lang w:eastAsia="zh-CN"/>
        </w:rPr>
        <w:t>to report the non-blocking mode information in the charging data request?</w:t>
      </w:r>
    </w:p>
    <w:p w14:paraId="070A7BD3" w14:textId="77777777" w:rsidR="005A79E3" w:rsidRDefault="001A34A8" w:rsidP="004D0CBC">
      <w:pPr>
        <w:rPr>
          <w:lang w:eastAsia="zh-CN"/>
        </w:rPr>
      </w:pPr>
      <w:r>
        <w:rPr>
          <w:lang w:eastAsia="zh-CN"/>
        </w:rPr>
        <w:t>As Figure 3.2-1 depicted, a service session may contain multiple service data flows</w:t>
      </w:r>
      <w:r w:rsidR="008368D7">
        <w:rPr>
          <w:lang w:eastAsia="zh-CN"/>
        </w:rPr>
        <w:t xml:space="preserve"> which may be blocking or non-blocking mode and </w:t>
      </w:r>
      <w:r>
        <w:rPr>
          <w:lang w:eastAsia="zh-CN"/>
        </w:rPr>
        <w:t xml:space="preserve">may be assigned to </w:t>
      </w:r>
      <w:r w:rsidR="008368D7">
        <w:rPr>
          <w:lang w:eastAsia="zh-CN"/>
        </w:rPr>
        <w:t>different RG by</w:t>
      </w:r>
      <w:r w:rsidR="0064655A">
        <w:rPr>
          <w:lang w:eastAsia="zh-CN"/>
        </w:rPr>
        <w:t xml:space="preserve"> PCC rule</w:t>
      </w:r>
      <w:r w:rsidR="008368D7">
        <w:rPr>
          <w:lang w:eastAsia="zh-CN"/>
        </w:rPr>
        <w:t xml:space="preserve">, while </w:t>
      </w:r>
      <w:r w:rsidR="008730A8">
        <w:rPr>
          <w:lang w:eastAsia="zh-CN"/>
        </w:rPr>
        <w:t>CHF</w:t>
      </w:r>
      <w:r w:rsidR="008368D7">
        <w:rPr>
          <w:lang w:eastAsia="zh-CN"/>
        </w:rPr>
        <w:t xml:space="preserve"> grant quota per RG basis</w:t>
      </w:r>
      <w:r>
        <w:rPr>
          <w:lang w:eastAsia="zh-CN"/>
        </w:rPr>
        <w:t xml:space="preserve">. </w:t>
      </w:r>
    </w:p>
    <w:p w14:paraId="544EB07F" w14:textId="3B45FD12" w:rsidR="00962EDB" w:rsidRDefault="005A79E3" w:rsidP="004D0CBC">
      <w:pPr>
        <w:rPr>
          <w:lang w:eastAsia="zh-CN"/>
        </w:rPr>
      </w:pPr>
      <w:r>
        <w:rPr>
          <w:lang w:eastAsia="zh-CN"/>
        </w:rPr>
        <w:t>F</w:t>
      </w:r>
      <w:r w:rsidR="00962EDB">
        <w:rPr>
          <w:lang w:eastAsia="zh-CN"/>
        </w:rPr>
        <w:t>or RG-</w:t>
      </w:r>
      <w:r w:rsidR="00CD160D">
        <w:rPr>
          <w:lang w:eastAsia="zh-CN"/>
        </w:rPr>
        <w:t>1</w:t>
      </w:r>
      <w:r w:rsidR="00962EDB">
        <w:rPr>
          <w:lang w:eastAsia="zh-CN"/>
        </w:rPr>
        <w:t xml:space="preserve">, since the first service data flow is non-blocking mode, SMF allows the service to start while sending the first quota request to CHF. </w:t>
      </w:r>
      <w:r w:rsidR="00451595">
        <w:rPr>
          <w:lang w:eastAsia="zh-CN"/>
        </w:rPr>
        <w:t xml:space="preserve">In this case, the </w:t>
      </w:r>
      <w:r w:rsidR="00F76AC2">
        <w:rPr>
          <w:lang w:eastAsia="zh-CN"/>
        </w:rPr>
        <w:t xml:space="preserve">actual </w:t>
      </w:r>
      <w:r w:rsidR="001F36B7">
        <w:rPr>
          <w:lang w:eastAsia="zh-CN"/>
        </w:rPr>
        <w:t>network resources may be consumed</w:t>
      </w:r>
      <w:r w:rsidR="00451595">
        <w:rPr>
          <w:lang w:eastAsia="zh-CN"/>
        </w:rPr>
        <w:t xml:space="preserve"> </w:t>
      </w:r>
      <w:r w:rsidR="00F76AC2">
        <w:rPr>
          <w:lang w:eastAsia="zh-CN"/>
        </w:rPr>
        <w:t xml:space="preserve">without quota supervision </w:t>
      </w:r>
      <w:r w:rsidR="00451595">
        <w:rPr>
          <w:lang w:eastAsia="zh-CN"/>
        </w:rPr>
        <w:t xml:space="preserve">while SMF waiting for the response from CHF. This situation should be </w:t>
      </w:r>
      <w:r w:rsidR="00022173">
        <w:rPr>
          <w:lang w:eastAsia="zh-CN"/>
        </w:rPr>
        <w:t>known</w:t>
      </w:r>
      <w:r w:rsidR="00451595">
        <w:rPr>
          <w:lang w:eastAsia="zh-CN"/>
        </w:rPr>
        <w:t xml:space="preserve"> by CHF </w:t>
      </w:r>
      <w:r w:rsidR="00022173">
        <w:rPr>
          <w:lang w:eastAsia="zh-CN"/>
        </w:rPr>
        <w:t xml:space="preserve">in order to </w:t>
      </w:r>
      <w:r w:rsidR="00CD160D">
        <w:rPr>
          <w:lang w:eastAsia="zh-CN"/>
        </w:rPr>
        <w:t>make quota grant decision considering the non-blocking situation, e.g. grant quota even the account balance is insufficient or inform PCF of the situation which is outside the scope of this discussion</w:t>
      </w:r>
      <w:r w:rsidR="00022173">
        <w:rPr>
          <w:lang w:eastAsia="zh-CN"/>
        </w:rPr>
        <w:t>.</w:t>
      </w:r>
      <w:r w:rsidR="00CD160D">
        <w:rPr>
          <w:lang w:eastAsia="zh-CN"/>
        </w:rPr>
        <w:t xml:space="preserve"> </w:t>
      </w:r>
    </w:p>
    <w:p w14:paraId="3067387A" w14:textId="0789934A" w:rsidR="00A34D7D" w:rsidRDefault="00A34D7D" w:rsidP="004D0CBC">
      <w:pPr>
        <w:rPr>
          <w:lang w:eastAsia="zh-CN"/>
        </w:rPr>
      </w:pPr>
      <w:r>
        <w:rPr>
          <w:lang w:eastAsia="zh-CN"/>
        </w:rPr>
        <w:t xml:space="preserve">Based on the above analysis, it is proposed to add an attribute in the </w:t>
      </w:r>
      <w:r w:rsidRPr="000E2CCD">
        <w:rPr>
          <w:highlight w:val="yellow"/>
          <w:lang w:eastAsia="zh-CN"/>
        </w:rPr>
        <w:t>MUU level</w:t>
      </w:r>
      <w:r>
        <w:rPr>
          <w:lang w:eastAsia="zh-CN"/>
        </w:rPr>
        <w:t xml:space="preserve"> (i.e. the same level with </w:t>
      </w:r>
      <w:r w:rsidR="00FD0CFA">
        <w:rPr>
          <w:lang w:eastAsia="zh-CN"/>
        </w:rPr>
        <w:t>the identifier of RG</w:t>
      </w:r>
      <w:r>
        <w:rPr>
          <w:lang w:eastAsia="zh-CN"/>
        </w:rPr>
        <w:t>) to indicate whether the non-blocking mode is applied, which is o</w:t>
      </w:r>
      <w:r w:rsidRPr="00A34D7D">
        <w:rPr>
          <w:lang w:eastAsia="zh-CN"/>
        </w:rPr>
        <w:t>nly applicable for the first quota request of a rating group.</w:t>
      </w:r>
    </w:p>
    <w:p w14:paraId="5C80A694" w14:textId="5485D5DF" w:rsidR="00B3613D" w:rsidRDefault="008368D7" w:rsidP="004D0CBC">
      <w:pPr>
        <w:pStyle w:val="Reference"/>
        <w:jc w:val="center"/>
        <w:rPr>
          <w:rFonts w:ascii="Arial" w:hAnsi="Arial" w:cs="Arial"/>
          <w:sz w:val="24"/>
        </w:rPr>
      </w:pPr>
      <w:r>
        <w:rPr>
          <w:rFonts w:ascii="Arial" w:hAnsi="Arial" w:cs="Arial"/>
          <w:sz w:val="24"/>
        </w:rPr>
        <w:object w:dxaOrig="12008" w:dyaOrig="6565" w14:anchorId="4B8F8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45pt" o:ole="">
            <v:imagedata r:id="rId7" o:title=""/>
          </v:shape>
          <o:OLEObject Type="Embed" ProgID="Visio.Drawing.11" ShapeID="_x0000_i1025" DrawAspect="Content" ObjectID="_1789546291" r:id="rId8"/>
        </w:object>
      </w:r>
    </w:p>
    <w:p w14:paraId="189EC7E8" w14:textId="4CCF4458" w:rsidR="001A34A8" w:rsidRDefault="001A34A8" w:rsidP="001A34A8">
      <w:pPr>
        <w:pStyle w:val="TF"/>
        <w:rPr>
          <w:rFonts w:eastAsia="Times New Roman"/>
        </w:rPr>
      </w:pPr>
      <w:r>
        <w:t>Figure </w:t>
      </w:r>
      <w:r>
        <w:rPr>
          <w:rFonts w:eastAsia="Times New Roman"/>
        </w:rPr>
        <w:t>3.2-1</w:t>
      </w:r>
      <w:r>
        <w:rPr>
          <w:rFonts w:eastAsia="Times New Roman"/>
          <w:lang w:eastAsia="zh-CN"/>
        </w:rPr>
        <w:t>:</w:t>
      </w:r>
      <w:r>
        <w:rPr>
          <w:rFonts w:eastAsia="Times New Roman"/>
        </w:rPr>
        <w:t xml:space="preserve"> </w:t>
      </w:r>
      <w:r w:rsidR="00AB0BB1">
        <w:rPr>
          <w:rFonts w:eastAsia="Times New Roman"/>
        </w:rPr>
        <w:t xml:space="preserve">Relation between </w:t>
      </w:r>
      <w:r>
        <w:rPr>
          <w:rFonts w:eastAsia="Times New Roman"/>
        </w:rPr>
        <w:t>service data flow</w:t>
      </w:r>
      <w:r w:rsidR="00AB0BB1">
        <w:rPr>
          <w:rFonts w:eastAsia="Times New Roman"/>
        </w:rPr>
        <w:t>s</w:t>
      </w:r>
      <w:r w:rsidR="007B79C0">
        <w:rPr>
          <w:rFonts w:eastAsia="Times New Roman"/>
        </w:rPr>
        <w:t xml:space="preserve"> and</w:t>
      </w:r>
      <w:r>
        <w:rPr>
          <w:rFonts w:eastAsia="Times New Roman"/>
        </w:rPr>
        <w:t xml:space="preserve"> rating group</w:t>
      </w:r>
    </w:p>
    <w:p w14:paraId="2ABC65EC" w14:textId="77777777" w:rsidR="001A34A8" w:rsidRPr="00B3613D" w:rsidRDefault="001A34A8" w:rsidP="004D0CBC">
      <w:pPr>
        <w:pStyle w:val="Reference"/>
        <w:jc w:val="center"/>
        <w:rPr>
          <w:rFonts w:ascii="Arial" w:hAnsi="Arial" w:cs="Arial"/>
          <w:sz w:val="24"/>
        </w:rPr>
      </w:pPr>
    </w:p>
    <w:p w14:paraId="459D8228" w14:textId="77777777" w:rsidR="00C022E3" w:rsidRDefault="00C022E3">
      <w:pPr>
        <w:pStyle w:val="1"/>
      </w:pPr>
      <w:r>
        <w:t>4</w:t>
      </w:r>
      <w:r>
        <w:tab/>
        <w:t>Detailed proposal</w:t>
      </w:r>
    </w:p>
    <w:p w14:paraId="74CE49FD" w14:textId="483E4C81" w:rsidR="00F74EC3" w:rsidRDefault="00F74EC3" w:rsidP="00F74EC3">
      <w:pPr>
        <w:rPr>
          <w:lang w:eastAsia="zh-CN"/>
        </w:rPr>
      </w:pPr>
      <w:r>
        <w:t xml:space="preserve">The </w:t>
      </w:r>
      <w:r>
        <w:rPr>
          <w:rFonts w:hint="eastAsia"/>
          <w:lang w:eastAsia="zh-CN"/>
        </w:rPr>
        <w:t>d</w:t>
      </w:r>
      <w:r>
        <w:rPr>
          <w:lang w:eastAsia="zh-CN"/>
        </w:rPr>
        <w:t xml:space="preserve">etailed </w:t>
      </w:r>
      <w:r>
        <w:t xml:space="preserve">proposals on the non-blocking mode for TS 32.290 [2] and TS 32.291 [3] are present </w:t>
      </w:r>
      <w:r w:rsidR="00C608BF">
        <w:t>in this meeting</w:t>
      </w:r>
      <w:r>
        <w:rPr>
          <w:lang w:eastAsia="zh-CN"/>
        </w:rPr>
        <w:t>.</w:t>
      </w:r>
    </w:p>
    <w:p w14:paraId="46971631" w14:textId="7E44182B"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105A" w14:textId="77777777" w:rsidR="00532E3C" w:rsidRDefault="00532E3C">
      <w:r>
        <w:separator/>
      </w:r>
    </w:p>
  </w:endnote>
  <w:endnote w:type="continuationSeparator" w:id="0">
    <w:p w14:paraId="3DAAB96F" w14:textId="77777777" w:rsidR="00532E3C" w:rsidRDefault="0053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00DD" w14:textId="77777777" w:rsidR="00532E3C" w:rsidRDefault="00532E3C">
      <w:r>
        <w:separator/>
      </w:r>
    </w:p>
  </w:footnote>
  <w:footnote w:type="continuationSeparator" w:id="0">
    <w:p w14:paraId="3279EC6F" w14:textId="77777777" w:rsidR="00532E3C" w:rsidRDefault="0053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2173"/>
    <w:rsid w:val="000230A3"/>
    <w:rsid w:val="00046389"/>
    <w:rsid w:val="00074722"/>
    <w:rsid w:val="0008083D"/>
    <w:rsid w:val="000819D8"/>
    <w:rsid w:val="00085D0B"/>
    <w:rsid w:val="000934A6"/>
    <w:rsid w:val="000A2C6C"/>
    <w:rsid w:val="000A4660"/>
    <w:rsid w:val="000C600C"/>
    <w:rsid w:val="000D1B5B"/>
    <w:rsid w:val="000E2CCD"/>
    <w:rsid w:val="000E626A"/>
    <w:rsid w:val="0010401F"/>
    <w:rsid w:val="00105992"/>
    <w:rsid w:val="00112FC3"/>
    <w:rsid w:val="001343B4"/>
    <w:rsid w:val="00140C3D"/>
    <w:rsid w:val="001463D4"/>
    <w:rsid w:val="001475FD"/>
    <w:rsid w:val="00147E06"/>
    <w:rsid w:val="001640D2"/>
    <w:rsid w:val="00173FA3"/>
    <w:rsid w:val="00184B6F"/>
    <w:rsid w:val="001861E5"/>
    <w:rsid w:val="001969DA"/>
    <w:rsid w:val="00197930"/>
    <w:rsid w:val="001A34A8"/>
    <w:rsid w:val="001A532E"/>
    <w:rsid w:val="001B1652"/>
    <w:rsid w:val="001C3EC8"/>
    <w:rsid w:val="001C57CA"/>
    <w:rsid w:val="001D2BD4"/>
    <w:rsid w:val="001D4258"/>
    <w:rsid w:val="001D6911"/>
    <w:rsid w:val="001E4833"/>
    <w:rsid w:val="001F36B7"/>
    <w:rsid w:val="001F6A38"/>
    <w:rsid w:val="00201947"/>
    <w:rsid w:val="00203933"/>
    <w:rsid w:val="0020395B"/>
    <w:rsid w:val="002046CB"/>
    <w:rsid w:val="00204DC9"/>
    <w:rsid w:val="002062C0"/>
    <w:rsid w:val="0021139A"/>
    <w:rsid w:val="00212C47"/>
    <w:rsid w:val="00215130"/>
    <w:rsid w:val="00230002"/>
    <w:rsid w:val="00234F4F"/>
    <w:rsid w:val="00244C9A"/>
    <w:rsid w:val="00247216"/>
    <w:rsid w:val="00266700"/>
    <w:rsid w:val="00274477"/>
    <w:rsid w:val="002A1533"/>
    <w:rsid w:val="002A1857"/>
    <w:rsid w:val="002C7F38"/>
    <w:rsid w:val="0030628A"/>
    <w:rsid w:val="00334BFB"/>
    <w:rsid w:val="0035122B"/>
    <w:rsid w:val="00353451"/>
    <w:rsid w:val="003612BE"/>
    <w:rsid w:val="00365672"/>
    <w:rsid w:val="00371032"/>
    <w:rsid w:val="00371B44"/>
    <w:rsid w:val="0037490F"/>
    <w:rsid w:val="003C122B"/>
    <w:rsid w:val="003C4713"/>
    <w:rsid w:val="003C5A97"/>
    <w:rsid w:val="003C7A04"/>
    <w:rsid w:val="003D546B"/>
    <w:rsid w:val="003F52B2"/>
    <w:rsid w:val="0041632F"/>
    <w:rsid w:val="00440414"/>
    <w:rsid w:val="00451595"/>
    <w:rsid w:val="004558E9"/>
    <w:rsid w:val="0045777E"/>
    <w:rsid w:val="004950AE"/>
    <w:rsid w:val="004B3753"/>
    <w:rsid w:val="004C31D2"/>
    <w:rsid w:val="004D0CBC"/>
    <w:rsid w:val="004D55C2"/>
    <w:rsid w:val="004F5A0A"/>
    <w:rsid w:val="00521131"/>
    <w:rsid w:val="00523965"/>
    <w:rsid w:val="00527C0B"/>
    <w:rsid w:val="005303AF"/>
    <w:rsid w:val="00532E35"/>
    <w:rsid w:val="00532E3C"/>
    <w:rsid w:val="005410F6"/>
    <w:rsid w:val="0055412D"/>
    <w:rsid w:val="005729C4"/>
    <w:rsid w:val="00577BC6"/>
    <w:rsid w:val="0059227B"/>
    <w:rsid w:val="005A79E3"/>
    <w:rsid w:val="005B0966"/>
    <w:rsid w:val="005B795D"/>
    <w:rsid w:val="00610508"/>
    <w:rsid w:val="00613820"/>
    <w:rsid w:val="00645C90"/>
    <w:rsid w:val="0064655A"/>
    <w:rsid w:val="00652248"/>
    <w:rsid w:val="00657B80"/>
    <w:rsid w:val="00661FDE"/>
    <w:rsid w:val="00674D8A"/>
    <w:rsid w:val="00675B3C"/>
    <w:rsid w:val="0069495C"/>
    <w:rsid w:val="006A372A"/>
    <w:rsid w:val="006B7A89"/>
    <w:rsid w:val="006D340A"/>
    <w:rsid w:val="00715A1D"/>
    <w:rsid w:val="00760BB0"/>
    <w:rsid w:val="0076157A"/>
    <w:rsid w:val="0077099A"/>
    <w:rsid w:val="00784593"/>
    <w:rsid w:val="007A00EF"/>
    <w:rsid w:val="007B19EA"/>
    <w:rsid w:val="007B79C0"/>
    <w:rsid w:val="007C0461"/>
    <w:rsid w:val="007C0A2D"/>
    <w:rsid w:val="007C27B0"/>
    <w:rsid w:val="007E58CE"/>
    <w:rsid w:val="007F300B"/>
    <w:rsid w:val="008014C3"/>
    <w:rsid w:val="00812587"/>
    <w:rsid w:val="008368D7"/>
    <w:rsid w:val="00850812"/>
    <w:rsid w:val="008730A8"/>
    <w:rsid w:val="00876B9A"/>
    <w:rsid w:val="00886CBD"/>
    <w:rsid w:val="008933BF"/>
    <w:rsid w:val="008A10C4"/>
    <w:rsid w:val="008B0248"/>
    <w:rsid w:val="008D191D"/>
    <w:rsid w:val="008F5F33"/>
    <w:rsid w:val="0091046A"/>
    <w:rsid w:val="00926ABD"/>
    <w:rsid w:val="009349E0"/>
    <w:rsid w:val="00947F4E"/>
    <w:rsid w:val="00951937"/>
    <w:rsid w:val="00962EDB"/>
    <w:rsid w:val="00966D47"/>
    <w:rsid w:val="00976517"/>
    <w:rsid w:val="00992312"/>
    <w:rsid w:val="009C0DED"/>
    <w:rsid w:val="009C6A52"/>
    <w:rsid w:val="009E6D9B"/>
    <w:rsid w:val="00A004B4"/>
    <w:rsid w:val="00A205C1"/>
    <w:rsid w:val="00A20ED6"/>
    <w:rsid w:val="00A34D7D"/>
    <w:rsid w:val="00A37D7F"/>
    <w:rsid w:val="00A45051"/>
    <w:rsid w:val="00A46410"/>
    <w:rsid w:val="00A50EA2"/>
    <w:rsid w:val="00A57688"/>
    <w:rsid w:val="00A6313B"/>
    <w:rsid w:val="00A8105D"/>
    <w:rsid w:val="00A842E9"/>
    <w:rsid w:val="00A84A94"/>
    <w:rsid w:val="00AB0BB1"/>
    <w:rsid w:val="00AD1DAA"/>
    <w:rsid w:val="00AF1E23"/>
    <w:rsid w:val="00AF33AB"/>
    <w:rsid w:val="00AF7F81"/>
    <w:rsid w:val="00B01AFF"/>
    <w:rsid w:val="00B03CB5"/>
    <w:rsid w:val="00B05CC7"/>
    <w:rsid w:val="00B27E39"/>
    <w:rsid w:val="00B350D8"/>
    <w:rsid w:val="00B3613D"/>
    <w:rsid w:val="00B64C0D"/>
    <w:rsid w:val="00B65418"/>
    <w:rsid w:val="00B704D0"/>
    <w:rsid w:val="00B76763"/>
    <w:rsid w:val="00B7732B"/>
    <w:rsid w:val="00B879F0"/>
    <w:rsid w:val="00BB306A"/>
    <w:rsid w:val="00BC25AA"/>
    <w:rsid w:val="00BF1DE9"/>
    <w:rsid w:val="00BF682E"/>
    <w:rsid w:val="00C01121"/>
    <w:rsid w:val="00C022E3"/>
    <w:rsid w:val="00C12E51"/>
    <w:rsid w:val="00C22D17"/>
    <w:rsid w:val="00C26BB2"/>
    <w:rsid w:val="00C4712D"/>
    <w:rsid w:val="00C555C9"/>
    <w:rsid w:val="00C608BF"/>
    <w:rsid w:val="00C94F55"/>
    <w:rsid w:val="00CA7D62"/>
    <w:rsid w:val="00CB07A8"/>
    <w:rsid w:val="00CD160D"/>
    <w:rsid w:val="00CD4A57"/>
    <w:rsid w:val="00D146F1"/>
    <w:rsid w:val="00D16D2C"/>
    <w:rsid w:val="00D25972"/>
    <w:rsid w:val="00D33604"/>
    <w:rsid w:val="00D37B08"/>
    <w:rsid w:val="00D437FF"/>
    <w:rsid w:val="00D5130C"/>
    <w:rsid w:val="00D62265"/>
    <w:rsid w:val="00D73770"/>
    <w:rsid w:val="00D812A5"/>
    <w:rsid w:val="00D8512E"/>
    <w:rsid w:val="00D900D9"/>
    <w:rsid w:val="00D97A72"/>
    <w:rsid w:val="00DA1E58"/>
    <w:rsid w:val="00DB75B8"/>
    <w:rsid w:val="00DC1055"/>
    <w:rsid w:val="00DE4EF2"/>
    <w:rsid w:val="00DF0F93"/>
    <w:rsid w:val="00DF2C0E"/>
    <w:rsid w:val="00E04DB6"/>
    <w:rsid w:val="00E06FFB"/>
    <w:rsid w:val="00E25D2B"/>
    <w:rsid w:val="00E30155"/>
    <w:rsid w:val="00E30C94"/>
    <w:rsid w:val="00E3647F"/>
    <w:rsid w:val="00E75472"/>
    <w:rsid w:val="00E91FE1"/>
    <w:rsid w:val="00EA5E95"/>
    <w:rsid w:val="00ED0C98"/>
    <w:rsid w:val="00ED4954"/>
    <w:rsid w:val="00ED5A43"/>
    <w:rsid w:val="00EE0943"/>
    <w:rsid w:val="00EE33A2"/>
    <w:rsid w:val="00F44A34"/>
    <w:rsid w:val="00F526B6"/>
    <w:rsid w:val="00F65443"/>
    <w:rsid w:val="00F67A1C"/>
    <w:rsid w:val="00F74EC3"/>
    <w:rsid w:val="00F757C8"/>
    <w:rsid w:val="00F76AC2"/>
    <w:rsid w:val="00F82C5B"/>
    <w:rsid w:val="00F85325"/>
    <w:rsid w:val="00F8555F"/>
    <w:rsid w:val="00FB05DF"/>
    <w:rsid w:val="00FB0B3F"/>
    <w:rsid w:val="00FB3E36"/>
    <w:rsid w:val="00FD0CF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A3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ALChar">
    <w:name w:val="TAL Char"/>
    <w:link w:val="TAL"/>
    <w:qFormat/>
    <w:rsid w:val="007C0461"/>
    <w:rPr>
      <w:rFonts w:ascii="Arial" w:hAnsi="Arial"/>
      <w:sz w:val="18"/>
      <w:lang w:eastAsia="en-US"/>
    </w:rPr>
  </w:style>
  <w:style w:type="character" w:customStyle="1" w:styleId="TFChar">
    <w:name w:val="TF Char"/>
    <w:link w:val="TF"/>
    <w:rsid w:val="001A34A8"/>
    <w:rPr>
      <w:rFonts w:ascii="Arial" w:hAnsi="Arial"/>
      <w:b/>
      <w:lang w:eastAsia="en-US"/>
    </w:rPr>
  </w:style>
  <w:style w:type="character" w:customStyle="1" w:styleId="B1Char">
    <w:name w:val="B1 Char"/>
    <w:link w:val="B1"/>
    <w:qFormat/>
    <w:rsid w:val="00FB05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20066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3</cp:revision>
  <cp:lastPrinted>1899-12-31T23:00:00Z</cp:lastPrinted>
  <dcterms:created xsi:type="dcterms:W3CDTF">2024-10-04T01:54:00Z</dcterms:created>
  <dcterms:modified xsi:type="dcterms:W3CDTF">2024-10-04T03:25:00Z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1728012331</vt:lpwstr>
  </property>
</Properties>
</file>